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98B" w:rsidRDefault="00890E07" w:rsidP="00890E07">
      <w:pPr>
        <w:spacing w:before="200" w:line="36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Equality, Diversity and Inclusion, EDI International Conference 2019 - Stream Proposal </w:t>
      </w:r>
      <w:bookmarkStart w:id="0" w:name="_GoBack"/>
      <w:bookmarkEnd w:id="0"/>
    </w:p>
    <w:p w:rsidR="0091798B" w:rsidRDefault="00890E0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Stream title: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Diversity, Disagreement and Resistance in Institutions </w:t>
      </w:r>
    </w:p>
    <w:p w:rsidR="0091798B" w:rsidRDefault="00890E0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Stream chairs: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Dr. Einav Argaman &amp; 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Alona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Forkosh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-Baruch</w:t>
      </w:r>
    </w:p>
    <w:p w:rsidR="0091798B" w:rsidRDefault="0091798B">
      <w:pPr>
        <w:spacing w:line="36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91798B" w:rsidRDefault="00890E0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literature debates extensively on the question 'what counts as an institution?' in contrast to 'everyday life' (Foucault, 1975/1995; 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febvre, 1947/1991; Heritage, 2004). Institutions, as formal bureaucracies, are defined as organized structures with some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particular purposes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where all members' activities and interactions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follow closely or completely conform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"an official blueprint"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z w:val="24"/>
          <w:szCs w:val="24"/>
        </w:rPr>
        <w:t>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&amp; Scott, 2016, p. 175). This implies abiding constraints of different sorts that shape the interaction between members (Bates, 2014). The expectation of such conduct is grounded on laws, rules and administrative regulations (Weber, 1922/1978). </w:t>
      </w:r>
    </w:p>
    <w:p w:rsidR="0091798B" w:rsidRDefault="00890E07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Nonethel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ess, scholars acknowledge the fact that institutions are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social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systems and that the individuals operating in them may depart from the institutional agenda and its consequential demands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(see also the literature on management studies and organizational chan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ge; e.g. Barrett, Thomas &amp;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Hocevar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1995; De Cock, 1998; Anderson, 2005).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Despite the fact that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institutions are centripetal (a term used when indicating a tendency toward unity and agreement;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Billig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1996) and that a reduction in the individual voice is t</w:t>
      </w:r>
      <w:r>
        <w:rPr>
          <w:rFonts w:ascii="Times New Roman" w:eastAsia="Times New Roman" w:hAnsi="Times New Roman" w:cs="Times New Roman"/>
          <w:sz w:val="24"/>
          <w:szCs w:val="24"/>
        </w:rPr>
        <w:t>herefore expected, personal diversity nevertheless exists. Several perspectives, e.g. behaviorist or cognitivist and a discourse approach may assist in understanding the nature and complexity of organizational change, especially issues pertaining to the co</w:t>
      </w:r>
      <w:r>
        <w:rPr>
          <w:rFonts w:ascii="Times New Roman" w:eastAsia="Times New Roman" w:hAnsi="Times New Roman" w:cs="Times New Roman"/>
          <w:sz w:val="24"/>
          <w:szCs w:val="24"/>
        </w:rPr>
        <w:t>nstruction of stability and change, and the role of agency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Tsoukas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2005). With the emergence of new organizational forms (such as networks), where people regularly switch their positions, and their power and influence constantly vary, these phenomena are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even more relevant (see Foss, 2003, on project-based institutions, and Mayer-Ahuja and Wolf, 2007, on small- and medium-scale Internet companies).  </w:t>
      </w:r>
    </w:p>
    <w:p w:rsidR="0091798B" w:rsidRDefault="00890E07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Heritage (2004) argues that institutions involve asymmetrical relationship.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  imbalance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between parties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is revealed, inter alia, in the possibility of certain groups/individuals (usually, those at the top of the institutional pyramid) to impose sanctions on their subordinates, when the latter digress from "appropriate" behavior. Hence, overt resistance in 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nstitutions is often limited or subdued, albeit it can still appear (Kotter, 2007). People may range from expressing reservations and disagreement or diverging, to some extent, from managerial policy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or guiding principles (while making certain adaptations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them), to bold defiance (in the sense of active struggle and a total disrespect for hegemonic decisions) (Argyris, 1957;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Mumby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2005; Fleming &amp; Spicer, 2008).   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</w:t>
      </w:r>
    </w:p>
    <w:p w:rsidR="0091798B" w:rsidRDefault="00890E07">
      <w:pPr>
        <w:spacing w:before="2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 this stream, we seek to address the issue of diversity, disagreement and resistanc</w:t>
      </w:r>
      <w:r>
        <w:rPr>
          <w:rFonts w:ascii="Times New Roman" w:eastAsia="Times New Roman" w:hAnsi="Times New Roman" w:cs="Times New Roman"/>
          <w:sz w:val="24"/>
          <w:szCs w:val="24"/>
        </w:rPr>
        <w:t>e in institutions. We invite researchers to submit theoretical or empirical abstracts that relate, but are not limited to the following:</w:t>
      </w:r>
    </w:p>
    <w:p w:rsidR="0091798B" w:rsidRDefault="00890E07">
      <w:pPr>
        <w:numPr>
          <w:ilvl w:val="0"/>
          <w:numId w:val="1"/>
        </w:numPr>
        <w:spacing w:before="20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Overt and covert displays of disagreement in institutional settings.</w:t>
      </w:r>
    </w:p>
    <w:p w:rsidR="0091798B" w:rsidRDefault="00890E07">
      <w:pPr>
        <w:numPr>
          <w:ilvl w:val="0"/>
          <w:numId w:val="1"/>
        </w:numPr>
        <w:spacing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Values and conflicts of values in institutions.</w:t>
      </w:r>
    </w:p>
    <w:p w:rsidR="0091798B" w:rsidRDefault="00890E07">
      <w:pPr>
        <w:numPr>
          <w:ilvl w:val="0"/>
          <w:numId w:val="1"/>
        </w:numPr>
        <w:spacing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Di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versified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institutions: Current challenges and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future prospects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798B" w:rsidRDefault="00890E07">
      <w:pPr>
        <w:numPr>
          <w:ilvl w:val="0"/>
          <w:numId w:val="1"/>
        </w:numPr>
        <w:spacing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Resistance and leadership.</w:t>
      </w:r>
    </w:p>
    <w:p w:rsidR="0091798B" w:rsidRDefault="00890E07">
      <w:pPr>
        <w:numPr>
          <w:ilvl w:val="0"/>
          <w:numId w:val="1"/>
        </w:numPr>
        <w:spacing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Resistance to institutional change.</w:t>
      </w:r>
    </w:p>
    <w:p w:rsidR="0091798B" w:rsidRDefault="00890E07">
      <w:pPr>
        <w:numPr>
          <w:ilvl w:val="0"/>
          <w:numId w:val="1"/>
        </w:numPr>
        <w:spacing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Various voices regarding assessment as a tool of centralization.</w:t>
      </w:r>
    </w:p>
    <w:p w:rsidR="0091798B" w:rsidRDefault="00890E07">
      <w:pPr>
        <w:numPr>
          <w:ilvl w:val="0"/>
          <w:numId w:val="1"/>
        </w:numPr>
        <w:spacing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Visual manifestations of disagreement in institutions.</w:t>
      </w:r>
    </w:p>
    <w:p w:rsidR="0091798B" w:rsidRDefault="00890E07">
      <w:pPr>
        <w:numPr>
          <w:ilvl w:val="0"/>
          <w:numId w:val="1"/>
        </w:numPr>
        <w:spacing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Power relations with regards to institutional agenda and decisions.</w:t>
      </w:r>
    </w:p>
    <w:p w:rsidR="0091798B" w:rsidRDefault="00890E07">
      <w:pPr>
        <w:numPr>
          <w:ilvl w:val="0"/>
          <w:numId w:val="1"/>
        </w:numPr>
        <w:spacing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Organized oppositions in institutions. </w:t>
      </w:r>
    </w:p>
    <w:p w:rsidR="0091798B" w:rsidRDefault="00890E0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1798B" w:rsidRDefault="00890E0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References</w:t>
      </w:r>
    </w:p>
    <w:p w:rsidR="0091798B" w:rsidRDefault="00890E07">
      <w:pP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Anderson, D. L. (2005). “What you’ll say…”: Represented voice in organizational change discourse.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Journal of Organizational Change Management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z w:val="24"/>
          <w:szCs w:val="24"/>
        </w:rPr>
        <w:t>, 63-77.</w:t>
      </w:r>
    </w:p>
    <w:p w:rsidR="0091798B" w:rsidRDefault="00890E0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Argyris, C. (1957).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Personality and organization</w:t>
      </w:r>
      <w:r>
        <w:rPr>
          <w:rFonts w:ascii="Times New Roman" w:eastAsia="Times New Roman" w:hAnsi="Times New Roman" w:cs="Times New Roman"/>
          <w:sz w:val="24"/>
          <w:szCs w:val="24"/>
        </w:rPr>
        <w:t>. New York: Harper &amp; Brothers.</w:t>
      </w:r>
    </w:p>
    <w:p w:rsidR="0091798B" w:rsidRDefault="00890E07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Barrett, F. J., Thomas,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G. F. &amp;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Hocevar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S. P. (1995). The central role of discourse in large-scale change: A social construction perspective. J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ournal of Applied Behavioral Science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31</w:t>
      </w:r>
      <w:r>
        <w:rPr>
          <w:rFonts w:ascii="Times New Roman" w:eastAsia="Times New Roman" w:hAnsi="Times New Roman" w:cs="Times New Roman"/>
          <w:sz w:val="24"/>
          <w:szCs w:val="24"/>
        </w:rPr>
        <w:t>, 352-372.</w:t>
      </w:r>
    </w:p>
    <w:p w:rsidR="0091798B" w:rsidRDefault="00890E0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Bates, R. (2014).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The new institutionalism. Institutions, property rights, and econo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mic growth: the legacy of Douglass North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(pp. 50-65). MA: Cambridge University Press.</w:t>
      </w:r>
    </w:p>
    <w:p w:rsidR="0091798B" w:rsidRDefault="00890E0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Billig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M. (1996).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Arguing and thinking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(2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ed.). Cambridge: Cambridge UP.</w:t>
      </w:r>
    </w:p>
    <w:p w:rsidR="0091798B" w:rsidRDefault="00890E07">
      <w:pP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Blau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P.M. &amp; Scott W.R. (2016). The concept of formal organization.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  J.M.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Shafritz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‏, J.S. Ot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t‏, Y.S. Jang (Eds.),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Classics of organization theory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(8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ed.) (pp. 173-177). Boston, MA: Cengage Learning.</w:t>
      </w:r>
    </w:p>
    <w:p w:rsidR="0091798B" w:rsidRDefault="00890E07">
      <w:pP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De Cock, C. (1998). Organizational change and discourse: Hegemony, resistance and reconstitution.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Management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</w:rPr>
        <w:t>, 1-22.</w:t>
      </w:r>
    </w:p>
    <w:p w:rsidR="0091798B" w:rsidRDefault="00890E07">
      <w:pP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Fleming, P. &amp; Spicer, A. (20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08). Beyond power and resistance: New approaches to organizational politics.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Management Communication Quarterly, 21 </w:t>
      </w:r>
      <w:r>
        <w:rPr>
          <w:rFonts w:ascii="Times New Roman" w:eastAsia="Times New Roman" w:hAnsi="Times New Roman" w:cs="Times New Roman"/>
          <w:sz w:val="24"/>
          <w:szCs w:val="24"/>
        </w:rPr>
        <w:t>(3), 301-309.</w:t>
      </w:r>
    </w:p>
    <w:p w:rsidR="0091798B" w:rsidRDefault="00890E07">
      <w:pP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Foss, N.J. (2003). Selective intervention and internal hybrids: Interpreting and learning from the rise and decline of the Oti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con spaghetti organization.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Organization Science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(3), 331-349.</w:t>
      </w:r>
    </w:p>
    <w:p w:rsidR="0091798B" w:rsidRDefault="00890E07">
      <w:pP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Foucault, M. (1975/1995).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Discipline and punish: The birth of the prison </w:t>
      </w:r>
      <w:r>
        <w:rPr>
          <w:rFonts w:ascii="Times New Roman" w:eastAsia="Times New Roman" w:hAnsi="Times New Roman" w:cs="Times New Roman"/>
          <w:sz w:val="24"/>
          <w:szCs w:val="24"/>
        </w:rPr>
        <w:t>(A. Sheridan, Trans.). New York: Vintage Books.</w:t>
      </w:r>
    </w:p>
    <w:p w:rsidR="0091798B" w:rsidRDefault="00890E07">
      <w:pP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Heritage, J. (2004). Conversation analysis and institutional talk: Analyzing data. In D. Silverman (Ed.),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Qualitative research: Theory, method and practice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(pp. 222-245). New York: Sage.</w:t>
      </w:r>
    </w:p>
    <w:p w:rsidR="0091798B" w:rsidRDefault="00890E07">
      <w:pP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Kotter, J.P. (2007). Leading Change: Why Transformation Efforts Fail.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Harvard Business Review, 85</w:t>
      </w:r>
      <w:r>
        <w:rPr>
          <w:rFonts w:ascii="Times New Roman" w:eastAsia="Times New Roman" w:hAnsi="Times New Roman" w:cs="Times New Roman"/>
          <w:sz w:val="24"/>
          <w:szCs w:val="24"/>
        </w:rPr>
        <w:t>(1), 96-103.</w:t>
      </w:r>
    </w:p>
    <w:p w:rsidR="0091798B" w:rsidRDefault="00890E07">
      <w:pP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Lefebvre, H. (1947/1991).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Critique of everyday life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(Vol. 1) (J. Moore, Trans.). London: Verso.</w:t>
      </w:r>
    </w:p>
    <w:p w:rsidR="0091798B" w:rsidRDefault="00890E07">
      <w:pP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Mayer-Ahuja, N., &amp; Wolf, H. (2007). Beyond the hype: Working in the German internet industry.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Critical Sociology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33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(1</w:t>
      </w:r>
      <w:r>
        <w:rPr>
          <w:rFonts w:ascii="Times New Roman" w:eastAsia="Times New Roman" w:hAnsi="Times New Roman" w:cs="Times New Roman"/>
          <w:sz w:val="24"/>
          <w:szCs w:val="24"/>
        </w:rPr>
        <w:t>-2), 73–99.</w:t>
      </w:r>
    </w:p>
    <w:p w:rsidR="0091798B" w:rsidRDefault="00890E07">
      <w:pP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Mumby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D.K. (2005). Theorizing resistance in organization studies.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Management Communication Quarterly, 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(1), 19-44. </w:t>
      </w:r>
    </w:p>
    <w:p w:rsidR="0091798B" w:rsidRDefault="00890E07">
      <w:pP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Tsoukas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H. (2005). Afterword: why language matters in the analysis of organizational change.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Journal of Organizational Chang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 Management, 18</w:t>
      </w:r>
      <w:r>
        <w:rPr>
          <w:rFonts w:ascii="Times New Roman" w:eastAsia="Times New Roman" w:hAnsi="Times New Roman" w:cs="Times New Roman"/>
          <w:sz w:val="24"/>
          <w:szCs w:val="24"/>
        </w:rPr>
        <w:t>(1), 96-104.</w:t>
      </w:r>
    </w:p>
    <w:p w:rsidR="0091798B" w:rsidRDefault="00890E07">
      <w:pP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Weber, M. (1922/1978).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Economy and society: An outline of interpretive sociology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(E.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Fischoff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et al., Trans.). Berkeley: University of California Press</w:t>
      </w:r>
    </w:p>
    <w:p w:rsidR="0091798B" w:rsidRDefault="0091798B">
      <w:pPr>
        <w:spacing w:before="20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179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67644"/>
    <w:multiLevelType w:val="multilevel"/>
    <w:tmpl w:val="DDB4BC54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98B"/>
    <w:rsid w:val="00890E07"/>
    <w:rsid w:val="0091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9FEA04-E105-4B42-B623-A3064B079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he-I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993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Einav Argaman</dc:creator>
  <cp:lastModifiedBy>Einav Argaman</cp:lastModifiedBy>
  <cp:revision>2</cp:revision>
  <dcterms:created xsi:type="dcterms:W3CDTF">2019-01-03T07:28:00Z</dcterms:created>
  <dcterms:modified xsi:type="dcterms:W3CDTF">2019-01-03T07:28:00Z</dcterms:modified>
</cp:coreProperties>
</file>